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3D1" w14:textId="16792FB7" w:rsidR="00DD0413" w:rsidRDefault="003A53F3" w:rsidP="00B96AA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Türkçe Başlık Buraya Eklenmelidir</w:t>
      </w:r>
      <w:r w:rsidR="00D85F66">
        <w:rPr>
          <w:rStyle w:val="DipnotBavurusu"/>
          <w:rFonts w:ascii="Times New Roman" w:hAnsi="Times New Roman" w:cs="Times New Roman"/>
          <w:b/>
        </w:rPr>
        <w:footnoteReference w:id="1"/>
      </w:r>
    </w:p>
    <w:p w14:paraId="1635A6E8" w14:textId="1D52DBAE" w:rsidR="00DD0413" w:rsidRPr="00B96AAD" w:rsidRDefault="003A53F3" w:rsidP="00DD0413">
      <w:pPr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İngilizce Başlık Buraya Eklenmelidir</w:t>
      </w:r>
    </w:p>
    <w:p w14:paraId="50AB3BEE" w14:textId="2DBD168B" w:rsidR="00DD0413" w:rsidRPr="00B96AAD" w:rsidRDefault="003A53F3" w:rsidP="00DD0413">
      <w:pPr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Ad-SOYAD</w:t>
      </w:r>
      <w:r w:rsidR="004E1B94">
        <w:rPr>
          <w:rStyle w:val="DipnotBavurusu"/>
          <w:rFonts w:ascii="Times New Roman" w:hAnsi="Times New Roman" w:cs="Times New Roman"/>
          <w:b/>
          <w:bCs/>
        </w:rPr>
        <w:footnoteReference w:id="2"/>
      </w:r>
      <w:r w:rsidR="00B96AAD" w:rsidRPr="00B96AAD">
        <w:rPr>
          <w:rFonts w:ascii="Times New Roman" w:hAnsi="Times New Roman" w:cs="Times New Roman"/>
          <w:b/>
          <w:bCs/>
        </w:rPr>
        <w:t xml:space="preserve"> </w:t>
      </w:r>
      <w:r w:rsidR="00B96AAD" w:rsidRPr="00B96AAD">
        <w:rPr>
          <w:rFonts w:ascii="Garamond" w:hAnsi="Garamond"/>
          <w:b/>
          <w:bCs/>
          <w:noProof/>
          <w:sz w:val="26"/>
          <w:szCs w:val="26"/>
          <w:lang w:bidi="ar-SA"/>
        </w:rPr>
        <w:drawing>
          <wp:inline distT="0" distB="0" distL="0" distR="0" wp14:anchorId="771DD34C" wp14:editId="6912D19A">
            <wp:extent cx="108000" cy="108000"/>
            <wp:effectExtent l="0" t="0" r="6350" b="6350"/>
            <wp:docPr id="18796" name="Resim 1879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" name="ind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6F998" w14:textId="77777777" w:rsidR="00DD0413" w:rsidRPr="00DD0413" w:rsidRDefault="00DD0413" w:rsidP="00DD041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48"/>
        <w:gridCol w:w="2854"/>
        <w:gridCol w:w="2970"/>
      </w:tblGrid>
      <w:tr w:rsidR="00DD0413" w:rsidRPr="00DD0413" w14:paraId="74EE766D" w14:textId="77777777" w:rsidTr="00B96AAD">
        <w:trPr>
          <w:trHeight w:val="340"/>
          <w:jc w:val="center"/>
        </w:trPr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764217C7" w14:textId="1D3C4DAF" w:rsidR="00DD0413" w:rsidRPr="00DD0413" w:rsidRDefault="00DD0413" w:rsidP="0059215C">
            <w:pPr>
              <w:jc w:val="center"/>
              <w:rPr>
                <w:rFonts w:ascii="Times New Roman" w:hAnsi="Times New Roman" w:cs="Times New Roman"/>
              </w:rPr>
            </w:pPr>
            <w:r w:rsidRPr="00DD0413">
              <w:rPr>
                <w:rFonts w:ascii="Times New Roman" w:hAnsi="Times New Roman" w:cs="Times New Roman"/>
                <w:b/>
                <w:bCs/>
              </w:rPr>
              <w:t xml:space="preserve">Gönderim: 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60972C25" w14:textId="5F09FD03" w:rsidR="00DD0413" w:rsidRPr="00DD0413" w:rsidRDefault="004E1B94" w:rsidP="0059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Düzeltme</w:t>
            </w:r>
            <w:r w:rsidR="00DD0413" w:rsidRPr="00DD041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14:paraId="22857537" w14:textId="4A1692C9" w:rsidR="00DD0413" w:rsidRPr="00DD0413" w:rsidRDefault="004E1B94" w:rsidP="005921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Kabul</w:t>
            </w:r>
            <w:r w:rsidR="00DD0413" w:rsidRPr="00DD041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14:paraId="230FAFDF" w14:textId="15274783" w:rsidR="00DD0413" w:rsidRDefault="00DD0413" w:rsidP="00DD0413">
      <w:pPr>
        <w:spacing w:before="120" w:after="120"/>
        <w:jc w:val="center"/>
        <w:rPr>
          <w:rFonts w:ascii="Times New Roman" w:hAnsi="Times New Roman" w:cs="Times New Roman"/>
          <w:b/>
          <w:spacing w:val="14"/>
        </w:rPr>
      </w:pPr>
      <w:r>
        <w:rPr>
          <w:rFonts w:ascii="Times New Roman" w:hAnsi="Times New Roman" w:cs="Times New Roman"/>
          <w:b/>
          <w:spacing w:val="14"/>
        </w:rPr>
        <w:t>ÖZET</w:t>
      </w:r>
    </w:p>
    <w:p w14:paraId="326BB805" w14:textId="16FD63ED" w:rsidR="00DD0413" w:rsidRPr="00DD0413" w:rsidRDefault="003A53F3" w:rsidP="00DD041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Türkçe özet buraya eklenmelidir. Türkçe özet 150-200 kelime arasında olmalıdır.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Türkçe özet buraya eklenmelidir. Türkçe özet 150-200 kelime arasında olmalıdır.</w:t>
      </w:r>
      <w:r w:rsidRPr="003A5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Türkçe özet buraya eklenmelidir. Türkçe özet 150-200 kelime arasında olmalıdır. </w:t>
      </w:r>
    </w:p>
    <w:p w14:paraId="697F5A93" w14:textId="5EEC51D4" w:rsidR="00DD0413" w:rsidRPr="00DD0413" w:rsidRDefault="00DD0413" w:rsidP="00DD0413">
      <w:pPr>
        <w:spacing w:before="120" w:after="120"/>
        <w:jc w:val="both"/>
        <w:rPr>
          <w:rFonts w:ascii="Times New Roman" w:hAnsi="Times New Roman" w:cs="Times New Roman"/>
        </w:rPr>
      </w:pPr>
      <w:r w:rsidRPr="00DD0413">
        <w:rPr>
          <w:rFonts w:ascii="Times New Roman" w:hAnsi="Times New Roman" w:cs="Times New Roman"/>
          <w:b/>
        </w:rPr>
        <w:t xml:space="preserve">Anahtar Kelimeler: </w:t>
      </w:r>
      <w:r w:rsidR="00AB2B4C">
        <w:rPr>
          <w:rFonts w:ascii="Times New Roman" w:hAnsi="Times New Roman" w:cs="Times New Roman"/>
        </w:rPr>
        <w:t>Psikolojik iyi oluş, özgecilik, üniversite öğrencileri.</w:t>
      </w:r>
    </w:p>
    <w:p w14:paraId="1D638A10" w14:textId="20FE30EB" w:rsidR="00DD0413" w:rsidRDefault="00DD0413" w:rsidP="00DD0413">
      <w:pPr>
        <w:spacing w:before="120" w:after="12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</w:p>
    <w:p w14:paraId="296E6B75" w14:textId="6B29F8DC" w:rsidR="00DD0413" w:rsidRPr="00DD0413" w:rsidRDefault="003A53F3" w:rsidP="00DD0413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3A53F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eklenmelidir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İngilizce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özet</w:t>
      </w:r>
      <w:proofErr w:type="spellEnd"/>
      <w:r>
        <w:rPr>
          <w:rFonts w:ascii="Times New Roman" w:hAnsi="Times New Roman" w:cs="Times New Roman"/>
          <w:lang w:val="en-US"/>
        </w:rPr>
        <w:t xml:space="preserve"> 150-200 </w:t>
      </w:r>
      <w:proofErr w:type="spellStart"/>
      <w:r>
        <w:rPr>
          <w:rFonts w:ascii="Times New Roman" w:hAnsi="Times New Roman" w:cs="Times New Roman"/>
          <w:lang w:val="en-US"/>
        </w:rPr>
        <w:t>kelime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olmalıdır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0C1D356F" w14:textId="172AB5BF" w:rsidR="00DD0413" w:rsidRDefault="00DD0413" w:rsidP="00DD0413">
      <w:pPr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DD0413">
        <w:rPr>
          <w:rFonts w:ascii="Times New Roman" w:hAnsi="Times New Roman" w:cs="Times New Roman"/>
          <w:lang w:val="en-US"/>
        </w:rPr>
        <w:t xml:space="preserve"> </w:t>
      </w:r>
      <w:r w:rsidRPr="00DD0413">
        <w:rPr>
          <w:rFonts w:ascii="Times New Roman" w:hAnsi="Times New Roman" w:cs="Times New Roman"/>
          <w:b/>
          <w:lang w:val="en-US"/>
        </w:rPr>
        <w:t xml:space="preserve">Keywords: </w:t>
      </w:r>
      <w:r w:rsidR="00AB2B4C" w:rsidRPr="00AB2B4C">
        <w:rPr>
          <w:rFonts w:ascii="Times New Roman" w:hAnsi="Times New Roman" w:cs="Times New Roman"/>
          <w:lang w:val="en-US"/>
        </w:rPr>
        <w:t>Psychological well-being, altruism, university students.</w:t>
      </w:r>
    </w:p>
    <w:p w14:paraId="0B745340" w14:textId="08AA879C" w:rsidR="004E1B94" w:rsidRDefault="004E1B94" w:rsidP="00DD0413">
      <w:pPr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1121187B" w14:textId="3DB4F1FD" w:rsidR="004E1B94" w:rsidRDefault="004E1B94" w:rsidP="00DD0413">
      <w:pPr>
        <w:spacing w:before="120" w:after="120"/>
        <w:jc w:val="both"/>
        <w:rPr>
          <w:rFonts w:ascii="Times New Roman" w:hAnsi="Times New Roman" w:cs="Times New Roman"/>
          <w:lang w:val="en-US"/>
        </w:rPr>
      </w:pPr>
    </w:p>
    <w:p w14:paraId="08D489F1" w14:textId="776F1C4E" w:rsidR="006D4F85" w:rsidRDefault="006D4F85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C9DD8CA" w14:textId="4E92B258" w:rsidR="006D4F85" w:rsidRDefault="006D4F85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CD0C8A3" w14:textId="779A9B49" w:rsidR="006D4F85" w:rsidRDefault="006D4F85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14448B8" w14:textId="33A65E70" w:rsidR="003A53F3" w:rsidRDefault="003A53F3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081ACE2" w14:textId="59D20FF0" w:rsidR="003A53F3" w:rsidRDefault="003A53F3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ABA445D" w14:textId="06DD8199" w:rsidR="003A53F3" w:rsidRDefault="003A53F3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AC18DF0" w14:textId="6E6F3BB4" w:rsidR="003A53F3" w:rsidRDefault="003A53F3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3C524A9F" w14:textId="77777777" w:rsidR="003A53F3" w:rsidRDefault="003A53F3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173EB69" w14:textId="77777777" w:rsidR="0003242E" w:rsidRPr="00B32D10" w:rsidRDefault="0003242E" w:rsidP="006D4F85">
      <w:pPr>
        <w:spacing w:after="6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132530" w:rsidRPr="006D4F85" w14:paraId="7A10E9DE" w14:textId="77777777" w:rsidTr="006D4F85">
        <w:tc>
          <w:tcPr>
            <w:tcW w:w="9062" w:type="dxa"/>
            <w:shd w:val="clear" w:color="auto" w:fill="002060"/>
          </w:tcPr>
          <w:p w14:paraId="0106B9C2" w14:textId="43AB2F19" w:rsidR="00132530" w:rsidRPr="006D4F85" w:rsidRDefault="006D4F85" w:rsidP="008715ED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F85">
              <w:rPr>
                <w:rFonts w:ascii="Times New Roman" w:hAnsi="Times New Roman" w:cs="Times New Roman"/>
                <w:b/>
                <w:sz w:val="18"/>
                <w:szCs w:val="18"/>
              </w:rPr>
              <w:t>Önerilen atıf</w:t>
            </w:r>
            <w:r w:rsidR="00B32D10" w:rsidRPr="006D4F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5270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Akbulut, Ö.F. (2021). </w:t>
            </w:r>
            <w:r w:rsidR="005270F7" w:rsidRPr="005270F7">
              <w:rPr>
                <w:rFonts w:ascii="Times New Roman" w:hAnsi="Times New Roman" w:cs="Times New Roman"/>
                <w:bCs/>
                <w:sz w:val="18"/>
                <w:szCs w:val="18"/>
              </w:rPr>
              <w:t>Üniversite öğrencilerinde psikolojik iyi oluş ve özgecilik arasındaki ilişkinin incelenmesi</w:t>
            </w:r>
            <w:r w:rsidR="005270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5270F7" w:rsidRPr="00CD1A8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Uluslararası Psiko-Sosyal Eğitim Araştırmaları Dergisi, 1</w:t>
            </w:r>
            <w:r w:rsidR="005270F7">
              <w:rPr>
                <w:rFonts w:ascii="Times New Roman" w:hAnsi="Times New Roman" w:cs="Times New Roman"/>
                <w:bCs/>
                <w:sz w:val="18"/>
                <w:szCs w:val="18"/>
              </w:rPr>
              <w:t>(1), 1-</w:t>
            </w:r>
            <w:r w:rsidR="008602E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270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</w:tr>
    </w:tbl>
    <w:p w14:paraId="6E895433" w14:textId="77777777" w:rsidR="003A53F3" w:rsidRDefault="003A53F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2D49E9" w14:textId="485B383D" w:rsidR="00904033" w:rsidRPr="00904033" w:rsidRDefault="00904033" w:rsidP="00904033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33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</w:p>
    <w:p w14:paraId="067ED540" w14:textId="508933FE" w:rsidR="000279F3" w:rsidRPr="007A741F" w:rsidRDefault="003A53F3" w:rsidP="000279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C3732" w14:textId="77777777" w:rsidR="003A53F3" w:rsidRDefault="003A53F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C03414" w14:textId="183EAAD4" w:rsidR="00904033" w:rsidRPr="007A741F" w:rsidRDefault="00904033" w:rsidP="00904033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1F">
        <w:rPr>
          <w:rFonts w:ascii="Times New Roman" w:hAnsi="Times New Roman" w:cs="Times New Roman"/>
          <w:b/>
          <w:sz w:val="24"/>
          <w:szCs w:val="24"/>
        </w:rPr>
        <w:lastRenderedPageBreak/>
        <w:t>YÖNTEM</w:t>
      </w:r>
    </w:p>
    <w:p w14:paraId="40A34FD9" w14:textId="77777777" w:rsidR="00904033" w:rsidRPr="007A741F" w:rsidRDefault="00904033" w:rsidP="005771B8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1F">
        <w:rPr>
          <w:rFonts w:ascii="Times New Roman" w:hAnsi="Times New Roman" w:cs="Times New Roman"/>
          <w:b/>
          <w:bCs/>
          <w:sz w:val="24"/>
          <w:szCs w:val="24"/>
        </w:rPr>
        <w:t>Araştırmanın Modeli</w:t>
      </w:r>
    </w:p>
    <w:p w14:paraId="1D704AA5" w14:textId="3213BD55" w:rsidR="00904033" w:rsidRPr="007A741F" w:rsidRDefault="003A53F3" w:rsidP="005771B8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550E4" w14:textId="77777777" w:rsidR="00904033" w:rsidRPr="007A741F" w:rsidRDefault="00904033" w:rsidP="005771B8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1F">
        <w:rPr>
          <w:rFonts w:ascii="Times New Roman" w:hAnsi="Times New Roman" w:cs="Times New Roman"/>
          <w:b/>
          <w:bCs/>
          <w:sz w:val="24"/>
          <w:szCs w:val="24"/>
        </w:rPr>
        <w:t>Çalışma Grubu</w:t>
      </w:r>
    </w:p>
    <w:p w14:paraId="543D0C93" w14:textId="6715C79A" w:rsidR="00904033" w:rsidRPr="007A741F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</w:t>
      </w:r>
      <w:r w:rsidR="005771B8" w:rsidRPr="007A741F">
        <w:rPr>
          <w:rFonts w:ascii="Times New Roman" w:hAnsi="Times New Roman" w:cs="Times New Roman"/>
          <w:sz w:val="24"/>
          <w:szCs w:val="24"/>
        </w:rPr>
        <w:t>.</w:t>
      </w:r>
      <w:r w:rsidR="00904033" w:rsidRPr="007A7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EA692" w14:textId="77777777" w:rsidR="00904033" w:rsidRPr="007A741F" w:rsidRDefault="00904033" w:rsidP="005771B8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1F">
        <w:rPr>
          <w:rFonts w:ascii="Times New Roman" w:hAnsi="Times New Roman" w:cs="Times New Roman"/>
          <w:b/>
          <w:bCs/>
          <w:sz w:val="24"/>
          <w:szCs w:val="24"/>
        </w:rPr>
        <w:t>Veri Toplama Araçları</w:t>
      </w:r>
    </w:p>
    <w:p w14:paraId="5640C431" w14:textId="365D759B" w:rsidR="003A53F3" w:rsidRPr="003A53F3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942C" w14:textId="49C6448D" w:rsidR="0005384E" w:rsidRPr="007A741F" w:rsidRDefault="0005384E" w:rsidP="0005384E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74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Psikolojik İyi Oluş Ölçeği</w:t>
      </w:r>
    </w:p>
    <w:p w14:paraId="052D1F93" w14:textId="49973B2F" w:rsidR="0005384E" w:rsidRPr="007A741F" w:rsidRDefault="0005384E" w:rsidP="0005384E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1F">
        <w:rPr>
          <w:rFonts w:ascii="Times New Roman" w:hAnsi="Times New Roman" w:cs="Times New Roman"/>
          <w:sz w:val="24"/>
          <w:szCs w:val="24"/>
        </w:rPr>
        <w:t xml:space="preserve">Araştırmada, üniversite öğrencilerinin psikolojik iyi oluş düzeylerini belirlemek için “Psikolojik İyi Oluş Ölçeği” kullanılmıştır. </w:t>
      </w:r>
    </w:p>
    <w:p w14:paraId="41CD9634" w14:textId="5356CF33" w:rsidR="00904033" w:rsidRPr="007A741F" w:rsidRDefault="00904033" w:rsidP="006F3B58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1F">
        <w:rPr>
          <w:rFonts w:ascii="Times New Roman" w:hAnsi="Times New Roman" w:cs="Times New Roman"/>
          <w:b/>
          <w:bCs/>
          <w:sz w:val="24"/>
          <w:szCs w:val="24"/>
        </w:rPr>
        <w:t xml:space="preserve">Verilerin </w:t>
      </w:r>
      <w:r w:rsidR="006F3B58" w:rsidRPr="007A741F">
        <w:rPr>
          <w:rFonts w:ascii="Times New Roman" w:hAnsi="Times New Roman" w:cs="Times New Roman"/>
          <w:b/>
          <w:bCs/>
          <w:sz w:val="24"/>
          <w:szCs w:val="24"/>
        </w:rPr>
        <w:t xml:space="preserve">Toplanması ve </w:t>
      </w:r>
      <w:r w:rsidRPr="007A741F">
        <w:rPr>
          <w:rFonts w:ascii="Times New Roman" w:hAnsi="Times New Roman" w:cs="Times New Roman"/>
          <w:b/>
          <w:bCs/>
          <w:sz w:val="24"/>
          <w:szCs w:val="24"/>
        </w:rPr>
        <w:t>Analizi</w:t>
      </w:r>
    </w:p>
    <w:p w14:paraId="07081F23" w14:textId="2A88F609" w:rsidR="00904033" w:rsidRPr="007A741F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</w:t>
      </w:r>
      <w:r w:rsidR="006F3B58" w:rsidRPr="007A74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A4D4C" w14:textId="77777777" w:rsidR="003A53F3" w:rsidRDefault="003A53F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C8FB2A" w14:textId="6353809F" w:rsidR="00904033" w:rsidRPr="007A741F" w:rsidRDefault="00904033" w:rsidP="00904033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1F">
        <w:rPr>
          <w:rFonts w:ascii="Times New Roman" w:hAnsi="Times New Roman" w:cs="Times New Roman"/>
          <w:b/>
          <w:sz w:val="24"/>
          <w:szCs w:val="24"/>
        </w:rPr>
        <w:lastRenderedPageBreak/>
        <w:t>BULGULAR</w:t>
      </w:r>
    </w:p>
    <w:p w14:paraId="7141A622" w14:textId="3299D226" w:rsidR="006F3B58" w:rsidRPr="007A741F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</w:t>
      </w:r>
      <w:r w:rsidR="006F3B58" w:rsidRPr="007A741F">
        <w:rPr>
          <w:rFonts w:ascii="Times New Roman" w:hAnsi="Times New Roman" w:cs="Times New Roman"/>
          <w:sz w:val="24"/>
          <w:szCs w:val="24"/>
        </w:rPr>
        <w:t>.</w:t>
      </w:r>
    </w:p>
    <w:p w14:paraId="758E864F" w14:textId="5022C96F" w:rsidR="00A426F8" w:rsidRPr="007A741F" w:rsidRDefault="00A426F8" w:rsidP="003A53F3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 w:rsidRPr="007A741F">
        <w:rPr>
          <w:rFonts w:ascii="Times New Roman" w:hAnsi="Times New Roman" w:cs="Times New Roman"/>
          <w:b/>
        </w:rPr>
        <w:t xml:space="preserve">Tablo </w:t>
      </w:r>
      <w:r w:rsidR="003A53F3">
        <w:rPr>
          <w:rFonts w:ascii="Times New Roman" w:hAnsi="Times New Roman" w:cs="Times New Roman"/>
          <w:b/>
        </w:rPr>
        <w:t>1</w:t>
      </w:r>
      <w:r w:rsidRPr="007A741F">
        <w:rPr>
          <w:rFonts w:ascii="Times New Roman" w:hAnsi="Times New Roman" w:cs="Times New Roman"/>
          <w:b/>
        </w:rPr>
        <w:t>.</w:t>
      </w:r>
      <w:r w:rsidRPr="007A741F">
        <w:rPr>
          <w:rFonts w:ascii="Times New Roman" w:hAnsi="Times New Roman" w:cs="Times New Roman"/>
        </w:rPr>
        <w:t xml:space="preserve"> </w:t>
      </w:r>
      <w:r w:rsidR="003A53F3">
        <w:rPr>
          <w:rFonts w:ascii="Times New Roman" w:hAnsi="Times New Roman" w:cs="Times New Roman"/>
        </w:rPr>
        <w:t>Tablo adı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325"/>
        <w:gridCol w:w="1695"/>
        <w:gridCol w:w="1510"/>
        <w:gridCol w:w="1511"/>
        <w:gridCol w:w="1511"/>
      </w:tblGrid>
      <w:tr w:rsidR="007A741F" w:rsidRPr="007A741F" w14:paraId="6BB59E92" w14:textId="77777777" w:rsidTr="00A55B63">
        <w:tc>
          <w:tcPr>
            <w:tcW w:w="1510" w:type="dxa"/>
          </w:tcPr>
          <w:p w14:paraId="3655EFFB" w14:textId="2FA7DC02" w:rsidR="00A55B63" w:rsidRPr="007A741F" w:rsidRDefault="00A55B63" w:rsidP="00A55B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41F">
              <w:rPr>
                <w:rFonts w:ascii="Times New Roman" w:hAnsi="Times New Roman" w:cs="Times New Roman"/>
                <w:b/>
                <w:bCs/>
              </w:rPr>
              <w:t>Değişken</w:t>
            </w:r>
          </w:p>
        </w:tc>
        <w:tc>
          <w:tcPr>
            <w:tcW w:w="1325" w:type="dxa"/>
          </w:tcPr>
          <w:p w14:paraId="19E44ED2" w14:textId="55AFF99D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41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695" w:type="dxa"/>
          </w:tcPr>
          <w:p w14:paraId="66B09193" w14:textId="5476AD01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41F">
              <w:rPr>
                <w:rFonts w:ascii="Times New Roman" w:hAnsi="Times New Roman" w:cs="Times New Roman"/>
                <w:b/>
                <w:bCs/>
              </w:rPr>
              <w:t>Standart Hata</w:t>
            </w:r>
          </w:p>
        </w:tc>
        <w:tc>
          <w:tcPr>
            <w:tcW w:w="1510" w:type="dxa"/>
          </w:tcPr>
          <w:p w14:paraId="1ECD9297" w14:textId="7BB4FD7B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41F">
              <w:rPr>
                <w:rFonts w:ascii="Times New Roman" w:hAnsi="Times New Roman" w:cs="Times New Roman"/>
                <w:b/>
                <w:bCs/>
              </w:rPr>
              <w:t>ß</w:t>
            </w:r>
          </w:p>
        </w:tc>
        <w:tc>
          <w:tcPr>
            <w:tcW w:w="1511" w:type="dxa"/>
          </w:tcPr>
          <w:p w14:paraId="4F7D6AB2" w14:textId="696D63F2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A741F">
              <w:rPr>
                <w:rFonts w:ascii="Times New Roman" w:hAnsi="Times New Roman" w:cs="Times New Roman"/>
                <w:b/>
                <w:bCs/>
              </w:rPr>
              <w:t>t</w:t>
            </w:r>
            <w:proofErr w:type="gramEnd"/>
          </w:p>
        </w:tc>
        <w:tc>
          <w:tcPr>
            <w:tcW w:w="1511" w:type="dxa"/>
          </w:tcPr>
          <w:p w14:paraId="1972FF37" w14:textId="24A03C51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A741F">
              <w:rPr>
                <w:rFonts w:ascii="Times New Roman" w:hAnsi="Times New Roman" w:cs="Times New Roman"/>
                <w:b/>
                <w:bCs/>
              </w:rPr>
              <w:t>p</w:t>
            </w:r>
            <w:proofErr w:type="gramEnd"/>
          </w:p>
        </w:tc>
      </w:tr>
      <w:tr w:rsidR="007A741F" w:rsidRPr="007A741F" w14:paraId="27301979" w14:textId="77777777" w:rsidTr="00A55B63">
        <w:tc>
          <w:tcPr>
            <w:tcW w:w="1510" w:type="dxa"/>
          </w:tcPr>
          <w:p w14:paraId="6CDA1284" w14:textId="77777777" w:rsidR="00A55B63" w:rsidRPr="007A741F" w:rsidRDefault="00A55B63" w:rsidP="00A55B63">
            <w:pPr>
              <w:jc w:val="both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Sabit</w:t>
            </w:r>
          </w:p>
          <w:p w14:paraId="5B4E17A3" w14:textId="1E085339" w:rsidR="00A55B63" w:rsidRPr="007A741F" w:rsidRDefault="00A55B63" w:rsidP="00A55B63">
            <w:pPr>
              <w:jc w:val="both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Özgecilik</w:t>
            </w:r>
          </w:p>
        </w:tc>
        <w:tc>
          <w:tcPr>
            <w:tcW w:w="1325" w:type="dxa"/>
          </w:tcPr>
          <w:p w14:paraId="3EB3720B" w14:textId="77777777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10,660</w:t>
            </w:r>
          </w:p>
          <w:p w14:paraId="5DED9F0E" w14:textId="4DEE537C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695" w:type="dxa"/>
          </w:tcPr>
          <w:p w14:paraId="16BAF93A" w14:textId="77777777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4,249</w:t>
            </w:r>
          </w:p>
          <w:p w14:paraId="7FFBC9ED" w14:textId="7FAC2CC2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1510" w:type="dxa"/>
          </w:tcPr>
          <w:p w14:paraId="6866C821" w14:textId="77777777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</w:p>
          <w:p w14:paraId="797E943C" w14:textId="2FF6ADA3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0,462</w:t>
            </w:r>
          </w:p>
        </w:tc>
        <w:tc>
          <w:tcPr>
            <w:tcW w:w="1511" w:type="dxa"/>
          </w:tcPr>
          <w:p w14:paraId="5D080F49" w14:textId="77777777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2,509</w:t>
            </w:r>
          </w:p>
          <w:p w14:paraId="0809CDD7" w14:textId="7762ACDA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7,125</w:t>
            </w:r>
          </w:p>
        </w:tc>
        <w:tc>
          <w:tcPr>
            <w:tcW w:w="1511" w:type="dxa"/>
          </w:tcPr>
          <w:p w14:paraId="5DD7B641" w14:textId="77777777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0,013</w:t>
            </w:r>
          </w:p>
          <w:p w14:paraId="7B2A774F" w14:textId="34D19E03" w:rsidR="00A55B63" w:rsidRPr="007A741F" w:rsidRDefault="00A55B63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0,000</w:t>
            </w:r>
          </w:p>
        </w:tc>
      </w:tr>
      <w:tr w:rsidR="007A741F" w:rsidRPr="007A741F" w14:paraId="4AA48B73" w14:textId="77777777" w:rsidTr="00F24662">
        <w:tc>
          <w:tcPr>
            <w:tcW w:w="9062" w:type="dxa"/>
            <w:gridSpan w:val="6"/>
          </w:tcPr>
          <w:p w14:paraId="1535C3C8" w14:textId="3C7C3DAE" w:rsidR="00AF4910" w:rsidRPr="007A741F" w:rsidRDefault="00AF4910" w:rsidP="00A55B63">
            <w:pPr>
              <w:jc w:val="center"/>
              <w:rPr>
                <w:rFonts w:ascii="Times New Roman" w:hAnsi="Times New Roman" w:cs="Times New Roman"/>
              </w:rPr>
            </w:pPr>
            <w:r w:rsidRPr="007A741F">
              <w:rPr>
                <w:rFonts w:ascii="Times New Roman" w:hAnsi="Times New Roman" w:cs="Times New Roman"/>
              </w:rPr>
              <w:t>R=.46, R²=.21, p&lt;.01</w:t>
            </w:r>
          </w:p>
        </w:tc>
      </w:tr>
    </w:tbl>
    <w:p w14:paraId="280ACD0A" w14:textId="671AA4BC" w:rsidR="006F3B58" w:rsidRPr="003A53F3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</w:t>
      </w:r>
      <w:r w:rsidR="00AF4910" w:rsidRPr="007A74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8C559" w14:textId="77777777" w:rsidR="003A53F3" w:rsidRDefault="003A53F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C0914A" w14:textId="042EBD82" w:rsidR="00D82DE6" w:rsidRPr="007A741F" w:rsidRDefault="00D82DE6" w:rsidP="00D82DE6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1F">
        <w:rPr>
          <w:rFonts w:ascii="Times New Roman" w:hAnsi="Times New Roman" w:cs="Times New Roman"/>
          <w:b/>
          <w:sz w:val="24"/>
          <w:szCs w:val="24"/>
        </w:rPr>
        <w:lastRenderedPageBreak/>
        <w:t>TARTIŞMA</w:t>
      </w:r>
    </w:p>
    <w:p w14:paraId="0727A5C0" w14:textId="77777777" w:rsidR="003A53F3" w:rsidRPr="007A741F" w:rsidRDefault="003A53F3" w:rsidP="003A53F3">
      <w:pPr>
        <w:spacing w:before="60"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 buraya eklenmelidir.</w:t>
      </w:r>
      <w:r w:rsidRPr="003A5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15071" w14:textId="77777777" w:rsidR="003A53F3" w:rsidRDefault="003A53F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83EC31" w14:textId="5AE9D1E7" w:rsidR="00F340D0" w:rsidRPr="00904033" w:rsidRDefault="00F340D0" w:rsidP="00F340D0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KAYNAKÇA</w:t>
      </w:r>
      <w:r w:rsidR="003A5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F3" w:rsidRPr="003A53F3">
        <w:rPr>
          <w:rFonts w:ascii="Times New Roman" w:hAnsi="Times New Roman" w:cs="Times New Roman"/>
          <w:b/>
          <w:sz w:val="24"/>
          <w:szCs w:val="24"/>
          <w:highlight w:val="yellow"/>
        </w:rPr>
        <w:t>(APA7 kurallarına uygun olacak şekilde)</w:t>
      </w:r>
    </w:p>
    <w:p w14:paraId="10C03621" w14:textId="77777777" w:rsidR="000A52DB" w:rsidRPr="000A52DB" w:rsidRDefault="000A52DB" w:rsidP="000A52DB">
      <w:pPr>
        <w:spacing w:before="60" w:after="60" w:line="276" w:lineRule="auto"/>
        <w:ind w:left="709" w:hanging="709"/>
        <w:jc w:val="both"/>
        <w:rPr>
          <w:rFonts w:ascii="Times New Roman" w:hAnsi="Times New Roman" w:cs="Times New Roman"/>
        </w:rPr>
      </w:pPr>
      <w:r w:rsidRPr="000A52DB">
        <w:rPr>
          <w:rFonts w:ascii="Times New Roman" w:hAnsi="Times New Roman" w:cs="Times New Roman"/>
        </w:rPr>
        <w:t xml:space="preserve">Akbaba, S. (2001). Özgecilik ölçeğinin Türkçeye uyarlanması geçerlik ve güvenirlik çalışması. </w:t>
      </w:r>
      <w:r w:rsidRPr="000A52DB">
        <w:rPr>
          <w:rFonts w:ascii="Times New Roman" w:hAnsi="Times New Roman" w:cs="Times New Roman"/>
          <w:i/>
          <w:iCs/>
        </w:rPr>
        <w:t>Atatürk Üniversitesi Erzincan Eğitim Fakültesi Dergisi, 3</w:t>
      </w:r>
      <w:r w:rsidRPr="000A52DB">
        <w:rPr>
          <w:rFonts w:ascii="Times New Roman" w:hAnsi="Times New Roman" w:cs="Times New Roman"/>
        </w:rPr>
        <w:t>(2), 85-95.</w:t>
      </w:r>
    </w:p>
    <w:p w14:paraId="2A9AA49B" w14:textId="478D7CEB" w:rsidR="00904033" w:rsidRPr="003A53F3" w:rsidRDefault="00C95B5F" w:rsidP="003A53F3">
      <w:pPr>
        <w:spacing w:before="60" w:after="60"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95B5F">
        <w:rPr>
          <w:rFonts w:ascii="Times New Roman" w:hAnsi="Times New Roman" w:cs="Times New Roman"/>
        </w:rPr>
        <w:t>Başerer</w:t>
      </w:r>
      <w:proofErr w:type="spellEnd"/>
      <w:r w:rsidRPr="00C95B5F">
        <w:rPr>
          <w:rFonts w:ascii="Times New Roman" w:hAnsi="Times New Roman" w:cs="Times New Roman"/>
        </w:rPr>
        <w:t xml:space="preserve">, Z., &amp; Kısaç, İ. (2017). Özgeci davranışın psikolojik iyi oluş ve çeşitli demografik değişkenlere göre incelenmesi (Erzurum ili örneği). </w:t>
      </w:r>
      <w:r w:rsidRPr="00C95B5F">
        <w:rPr>
          <w:rFonts w:ascii="Times New Roman" w:hAnsi="Times New Roman" w:cs="Times New Roman"/>
          <w:i/>
          <w:iCs/>
        </w:rPr>
        <w:t>Akademik Sosyal Araştırmalar Dergisi, 5</w:t>
      </w:r>
      <w:r w:rsidRPr="00C95B5F">
        <w:rPr>
          <w:rFonts w:ascii="Times New Roman" w:hAnsi="Times New Roman" w:cs="Times New Roman"/>
        </w:rPr>
        <w:t>(56)</w:t>
      </w:r>
      <w:r>
        <w:rPr>
          <w:rFonts w:ascii="Times New Roman" w:hAnsi="Times New Roman" w:cs="Times New Roman"/>
        </w:rPr>
        <w:t>, 582-594.</w:t>
      </w:r>
      <w:r w:rsidR="005270F7">
        <w:rPr>
          <w:rFonts w:ascii="Times New Roman" w:hAnsi="Times New Roman" w:cs="Times New Roman"/>
        </w:rPr>
        <w:t xml:space="preserve"> </w:t>
      </w:r>
      <w:hyperlink r:id="rId10" w:history="1">
        <w:r w:rsidR="005270F7" w:rsidRPr="0068371E">
          <w:rPr>
            <w:rStyle w:val="Kpr"/>
            <w:rFonts w:ascii="Times New Roman" w:hAnsi="Times New Roman" w:cs="Times New Roman"/>
          </w:rPr>
          <w:t>http://dx.doi.org/10.16992/ASOS.12827</w:t>
        </w:r>
      </w:hyperlink>
      <w:r w:rsidR="005270F7">
        <w:rPr>
          <w:rFonts w:ascii="Times New Roman" w:hAnsi="Times New Roman" w:cs="Times New Roman"/>
        </w:rPr>
        <w:t xml:space="preserve"> </w:t>
      </w:r>
    </w:p>
    <w:p w14:paraId="0071D9E1" w14:textId="77777777" w:rsidR="00904033" w:rsidRPr="00904033" w:rsidRDefault="00904033" w:rsidP="00904033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FBD84" w14:textId="333207EF" w:rsidR="00904033" w:rsidRPr="00F340D0" w:rsidRDefault="00904033" w:rsidP="00F340D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4033" w:rsidRPr="00F340D0" w:rsidSect="008602E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BF97" w14:textId="77777777" w:rsidR="00A372C6" w:rsidRDefault="00A372C6" w:rsidP="00DD0413">
      <w:r>
        <w:separator/>
      </w:r>
    </w:p>
  </w:endnote>
  <w:endnote w:type="continuationSeparator" w:id="0">
    <w:p w14:paraId="4B71BBF4" w14:textId="77777777" w:rsidR="00A372C6" w:rsidRDefault="00A372C6" w:rsidP="00D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144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3784F3" w14:textId="4FEA71B0" w:rsidR="005A44FA" w:rsidRPr="005A44FA" w:rsidRDefault="005A44FA">
        <w:pPr>
          <w:pStyle w:val="AltBilgi"/>
          <w:jc w:val="center"/>
          <w:rPr>
            <w:rFonts w:ascii="Times New Roman" w:hAnsi="Times New Roman" w:cs="Times New Roman"/>
          </w:rPr>
        </w:pPr>
        <w:r w:rsidRPr="005A44FA">
          <w:rPr>
            <w:rFonts w:ascii="Times New Roman" w:hAnsi="Times New Roman" w:cs="Times New Roman"/>
          </w:rPr>
          <w:fldChar w:fldCharType="begin"/>
        </w:r>
        <w:r w:rsidRPr="005A44FA">
          <w:rPr>
            <w:rFonts w:ascii="Times New Roman" w:hAnsi="Times New Roman" w:cs="Times New Roman"/>
          </w:rPr>
          <w:instrText>PAGE   \* MERGEFORMAT</w:instrText>
        </w:r>
        <w:r w:rsidRPr="005A44FA">
          <w:rPr>
            <w:rFonts w:ascii="Times New Roman" w:hAnsi="Times New Roman" w:cs="Times New Roman"/>
          </w:rPr>
          <w:fldChar w:fldCharType="separate"/>
        </w:r>
        <w:r w:rsidR="007A741F">
          <w:rPr>
            <w:rFonts w:ascii="Times New Roman" w:hAnsi="Times New Roman" w:cs="Times New Roman"/>
            <w:noProof/>
          </w:rPr>
          <w:t>7</w:t>
        </w:r>
        <w:r w:rsidRPr="005A44FA">
          <w:rPr>
            <w:rFonts w:ascii="Times New Roman" w:hAnsi="Times New Roman" w:cs="Times New Roman"/>
          </w:rPr>
          <w:fldChar w:fldCharType="end"/>
        </w:r>
      </w:p>
    </w:sdtContent>
  </w:sdt>
  <w:p w14:paraId="2310395C" w14:textId="77777777" w:rsidR="005A44FA" w:rsidRDefault="005A44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046E" w14:textId="77777777" w:rsidR="00A372C6" w:rsidRDefault="00A372C6" w:rsidP="00DD0413">
      <w:r>
        <w:separator/>
      </w:r>
    </w:p>
  </w:footnote>
  <w:footnote w:type="continuationSeparator" w:id="0">
    <w:p w14:paraId="235EF3BB" w14:textId="77777777" w:rsidR="00A372C6" w:rsidRDefault="00A372C6" w:rsidP="00DD0413">
      <w:r>
        <w:continuationSeparator/>
      </w:r>
    </w:p>
  </w:footnote>
  <w:footnote w:id="1">
    <w:p w14:paraId="6F0AA7A5" w14:textId="5663D450" w:rsidR="00D85F66" w:rsidRPr="00D85F66" w:rsidRDefault="00D85F66" w:rsidP="003A53F3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="003A53F3">
        <w:rPr>
          <w:rFonts w:ascii="Times New Roman" w:hAnsi="Times New Roman" w:cs="Times New Roman"/>
        </w:rPr>
        <w:t xml:space="preserve">Araştırma tezden üretilmişse veya bir kongrede bildiri olarak sunulmuşsa burada belirtilmelidir.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580DD822" w14:textId="3741EFD5" w:rsidR="004E1B94" w:rsidRPr="00904033" w:rsidRDefault="004E1B94" w:rsidP="003A53F3">
      <w:pPr>
        <w:pStyle w:val="DipnotMetni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="003A53F3">
        <w:rPr>
          <w:rFonts w:ascii="Times New Roman" w:hAnsi="Times New Roman" w:cs="Times New Roman"/>
        </w:rPr>
        <w:t xml:space="preserve">Unvan, Kurum, </w:t>
      </w:r>
      <w:proofErr w:type="gramStart"/>
      <w:r w:rsidR="003A53F3">
        <w:rPr>
          <w:rFonts w:ascii="Times New Roman" w:hAnsi="Times New Roman" w:cs="Times New Roman"/>
        </w:rPr>
        <w:t>mail</w:t>
      </w:r>
      <w:proofErr w:type="gramEnd"/>
      <w:r w:rsidR="003A53F3">
        <w:rPr>
          <w:rFonts w:ascii="Times New Roman" w:hAnsi="Times New Roman" w:cs="Times New Roman"/>
        </w:rPr>
        <w:t xml:space="preserve"> adresi</w:t>
      </w:r>
      <w:r w:rsidRPr="0090403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91" w:type="pct"/>
      <w:jc w:val="center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37"/>
    </w:tblGrid>
    <w:tr w:rsidR="00904033" w:rsidRPr="00904033" w14:paraId="03E9D708" w14:textId="77777777" w:rsidTr="00904033">
      <w:trPr>
        <w:trHeight w:val="576"/>
        <w:jc w:val="center"/>
      </w:trPr>
      <w:tc>
        <w:tcPr>
          <w:tcW w:w="9237" w:type="dxa"/>
          <w:tcBorders>
            <w:bottom w:val="single" w:sz="24" w:space="0" w:color="16C3CC"/>
          </w:tcBorders>
        </w:tcPr>
        <w:p w14:paraId="5A6FF8B1" w14:textId="243DAED0" w:rsidR="00904033" w:rsidRPr="00904033" w:rsidRDefault="003A53F3" w:rsidP="00904033">
          <w:pPr>
            <w:jc w:val="both"/>
            <w:rPr>
              <w:rFonts w:ascii="Times New Roman" w:hAnsi="Times New Roman" w:cs="Times New Roman"/>
              <w:b/>
              <w:bCs/>
              <w:color w:val="C00000"/>
              <w:sz w:val="18"/>
              <w:szCs w:val="16"/>
            </w:rPr>
          </w:pPr>
          <w:proofErr w:type="spellStart"/>
          <w:r>
            <w:rPr>
              <w:rFonts w:ascii="Times New Roman" w:hAnsi="Times New Roman" w:cs="Times New Roman"/>
              <w:bCs/>
              <w:sz w:val="18"/>
              <w:szCs w:val="16"/>
            </w:rPr>
            <w:t>Soyad</w:t>
          </w:r>
          <w:proofErr w:type="spellEnd"/>
        </w:p>
        <w:p w14:paraId="14A47359" w14:textId="50F5F621" w:rsidR="00904033" w:rsidRPr="00904033" w:rsidRDefault="003A53F3" w:rsidP="00904033">
          <w:pPr>
            <w:rPr>
              <w:rFonts w:ascii="Times New Roman" w:hAnsi="Times New Roman" w:cs="Times New Roman"/>
              <w:bCs/>
              <w:i/>
              <w:sz w:val="18"/>
              <w:szCs w:val="16"/>
            </w:rPr>
          </w:pPr>
          <w:r>
            <w:rPr>
              <w:rFonts w:ascii="Times New Roman" w:hAnsi="Times New Roman" w:cs="Times New Roman"/>
              <w:bCs/>
              <w:i/>
              <w:sz w:val="18"/>
              <w:szCs w:val="16"/>
            </w:rPr>
            <w:t>Makale Adı</w:t>
          </w:r>
        </w:p>
      </w:tc>
    </w:tr>
    <w:tr w:rsidR="00904033" w:rsidRPr="00904033" w14:paraId="1DD7A754" w14:textId="77777777" w:rsidTr="00904033">
      <w:trPr>
        <w:trHeight w:val="105"/>
        <w:jc w:val="center"/>
      </w:trPr>
      <w:tc>
        <w:tcPr>
          <w:tcW w:w="9237" w:type="dxa"/>
          <w:tcBorders>
            <w:top w:val="single" w:sz="24" w:space="0" w:color="16C3CC"/>
            <w:bottom w:val="nil"/>
          </w:tcBorders>
        </w:tcPr>
        <w:p w14:paraId="3CEAFC23" w14:textId="77777777" w:rsidR="00904033" w:rsidRPr="00904033" w:rsidRDefault="00904033" w:rsidP="00904033">
          <w:pPr>
            <w:rPr>
              <w:rFonts w:ascii="Times New Roman" w:hAnsi="Times New Roman" w:cs="Times New Roman"/>
              <w:bCs/>
              <w:sz w:val="18"/>
              <w:szCs w:val="16"/>
            </w:rPr>
          </w:pPr>
        </w:p>
      </w:tc>
    </w:tr>
  </w:tbl>
  <w:p w14:paraId="061AEC80" w14:textId="77777777" w:rsidR="00904033" w:rsidRDefault="009040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4" w:space="0" w:color="auto"/>
      </w:tblBorders>
      <w:shd w:val="clear" w:color="auto" w:fill="1F497D"/>
      <w:tblLook w:val="04A0" w:firstRow="1" w:lastRow="0" w:firstColumn="1" w:lastColumn="0" w:noHBand="0" w:noVBand="1"/>
    </w:tblPr>
    <w:tblGrid>
      <w:gridCol w:w="1657"/>
      <w:gridCol w:w="7415"/>
    </w:tblGrid>
    <w:tr w:rsidR="00DD0413" w:rsidRPr="00DD0413" w14:paraId="26702CB2" w14:textId="77777777" w:rsidTr="00B96AAD">
      <w:trPr>
        <w:jc w:val="center"/>
      </w:trPr>
      <w:tc>
        <w:tcPr>
          <w:tcW w:w="1418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C00000"/>
          <w:vAlign w:val="center"/>
          <w:hideMark/>
        </w:tcPr>
        <w:p w14:paraId="7D577E7D" w14:textId="4DF66BE4" w:rsidR="00DD0413" w:rsidRPr="00DD0413" w:rsidRDefault="00DD0413" w:rsidP="00DD0413">
          <w:pPr>
            <w:tabs>
              <w:tab w:val="center" w:pos="4536"/>
              <w:tab w:val="right" w:pos="9072"/>
            </w:tabs>
            <w:spacing w:before="240" w:after="240"/>
            <w:jc w:val="center"/>
            <w:rPr>
              <w:rFonts w:ascii="Times New Roman" w:hAnsi="Times New Roman" w:cs="Times New Roman"/>
              <w:b/>
              <w:color w:val="FFFFFF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FFFFFF"/>
              <w:sz w:val="36"/>
              <w:szCs w:val="36"/>
            </w:rPr>
            <w:t>U</w:t>
          </w:r>
          <w:r w:rsidR="00B96AAD">
            <w:rPr>
              <w:rFonts w:ascii="Times New Roman" w:hAnsi="Times New Roman" w:cs="Times New Roman"/>
              <w:b/>
              <w:color w:val="FFFFFF"/>
              <w:sz w:val="36"/>
              <w:szCs w:val="36"/>
            </w:rPr>
            <w:t>PSEAD</w:t>
          </w:r>
        </w:p>
      </w:tc>
      <w:tc>
        <w:tcPr>
          <w:tcW w:w="7513" w:type="dxa"/>
          <w:tcBorders>
            <w:top w:val="nil"/>
            <w:left w:val="nil"/>
            <w:bottom w:val="thickThinSmallGap" w:sz="24" w:space="0" w:color="1F497D"/>
            <w:right w:val="nil"/>
          </w:tcBorders>
          <w:shd w:val="clear" w:color="auto" w:fill="FFFFFF"/>
        </w:tcPr>
        <w:p w14:paraId="209C6F55" w14:textId="4E753472" w:rsidR="00DD0413" w:rsidRDefault="006D4F85" w:rsidP="00B96AAD">
          <w:pPr>
            <w:tabs>
              <w:tab w:val="center" w:pos="4536"/>
              <w:tab w:val="right" w:pos="9072"/>
            </w:tabs>
            <w:spacing w:before="120" w:after="12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D4F85">
            <w:rPr>
              <w:rFonts w:ascii="Times New Roman" w:hAnsi="Times New Roman" w:cs="Times New Roman"/>
              <w:b/>
              <w:sz w:val="20"/>
              <w:szCs w:val="20"/>
            </w:rPr>
            <w:t>Uluslararası Psiko-Sosyal Eğitim Araştırmaları Dergisi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/ E-ISSN:</w:t>
          </w:r>
          <w:r w:rsidR="003A53F3">
            <w:rPr>
              <w:rFonts w:ascii="Times New Roman" w:hAnsi="Times New Roman" w:cs="Times New Roman"/>
              <w:b/>
              <w:sz w:val="20"/>
              <w:szCs w:val="20"/>
            </w:rPr>
            <w:t xml:space="preserve"> 2822-4574</w:t>
          </w:r>
        </w:p>
        <w:p w14:paraId="4ED57861" w14:textId="39D612F3" w:rsidR="006D4F85" w:rsidRDefault="006D4F85" w:rsidP="00B96AAD">
          <w:pPr>
            <w:tabs>
              <w:tab w:val="center" w:pos="4536"/>
              <w:tab w:val="right" w:pos="9072"/>
            </w:tabs>
            <w:spacing w:before="120" w:after="12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A53F3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Yıl: 202</w:t>
          </w:r>
          <w:r w:rsidR="003A53F3" w:rsidRPr="003A53F3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3</w:t>
          </w:r>
          <w:r w:rsidRPr="003A53F3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 xml:space="preserve">, Cilt: </w:t>
          </w:r>
          <w:r w:rsidR="003A53F3" w:rsidRPr="003A53F3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3</w:t>
          </w:r>
          <w:r w:rsidRPr="003A53F3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, Sayı: 1</w:t>
          </w:r>
        </w:p>
        <w:p w14:paraId="2C67D557" w14:textId="6765A3CA" w:rsidR="00DD0413" w:rsidRPr="00DD0413" w:rsidRDefault="00000000" w:rsidP="006D4F85">
          <w:pPr>
            <w:tabs>
              <w:tab w:val="center" w:pos="4536"/>
              <w:tab w:val="right" w:pos="9072"/>
            </w:tabs>
            <w:spacing w:before="120" w:after="120"/>
            <w:rPr>
              <w:rFonts w:ascii="Times New Roman" w:hAnsi="Times New Roman" w:cs="Times New Roman"/>
              <w:b/>
              <w:sz w:val="16"/>
              <w:szCs w:val="16"/>
            </w:rPr>
          </w:pPr>
          <w:hyperlink r:id="rId1" w:history="1">
            <w:r w:rsidR="006D4F85" w:rsidRPr="006D4F85">
              <w:rPr>
                <w:rStyle w:val="Kpr"/>
                <w:rFonts w:ascii="Times New Roman" w:hAnsi="Times New Roman" w:cs="Times New Roman"/>
                <w:sz w:val="20"/>
                <w:szCs w:val="20"/>
              </w:rPr>
              <w:t>www.upsead.com</w:t>
            </w:r>
          </w:hyperlink>
          <w:r w:rsidR="006D4F85" w:rsidRPr="006D4F8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17DAEF0E" w14:textId="77777777" w:rsidR="00DD0413" w:rsidRDefault="00DD04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A381F"/>
    <w:multiLevelType w:val="hybridMultilevel"/>
    <w:tmpl w:val="6B9E0556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9437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D6"/>
    <w:rsid w:val="000279F3"/>
    <w:rsid w:val="0003242E"/>
    <w:rsid w:val="0005384E"/>
    <w:rsid w:val="000A39D6"/>
    <w:rsid w:val="000A52DB"/>
    <w:rsid w:val="00132530"/>
    <w:rsid w:val="001C4095"/>
    <w:rsid w:val="001D724F"/>
    <w:rsid w:val="001E0361"/>
    <w:rsid w:val="00223050"/>
    <w:rsid w:val="00241211"/>
    <w:rsid w:val="002B2EC2"/>
    <w:rsid w:val="002C101B"/>
    <w:rsid w:val="00303336"/>
    <w:rsid w:val="003A53F3"/>
    <w:rsid w:val="003C6B50"/>
    <w:rsid w:val="00434512"/>
    <w:rsid w:val="0049615A"/>
    <w:rsid w:val="004B032A"/>
    <w:rsid w:val="004E1B94"/>
    <w:rsid w:val="005270F7"/>
    <w:rsid w:val="005771B8"/>
    <w:rsid w:val="00594750"/>
    <w:rsid w:val="005A44FA"/>
    <w:rsid w:val="005D5E03"/>
    <w:rsid w:val="00673B57"/>
    <w:rsid w:val="006D4F85"/>
    <w:rsid w:val="006F3B58"/>
    <w:rsid w:val="0077742F"/>
    <w:rsid w:val="007A19B7"/>
    <w:rsid w:val="007A741F"/>
    <w:rsid w:val="007D7818"/>
    <w:rsid w:val="008602EE"/>
    <w:rsid w:val="008715ED"/>
    <w:rsid w:val="008946B4"/>
    <w:rsid w:val="008A4EEA"/>
    <w:rsid w:val="00904033"/>
    <w:rsid w:val="009F381B"/>
    <w:rsid w:val="00A372C6"/>
    <w:rsid w:val="00A426F8"/>
    <w:rsid w:val="00A55B63"/>
    <w:rsid w:val="00AB2B4C"/>
    <w:rsid w:val="00AF4910"/>
    <w:rsid w:val="00B1439D"/>
    <w:rsid w:val="00B32D10"/>
    <w:rsid w:val="00B96AAD"/>
    <w:rsid w:val="00C95B5F"/>
    <w:rsid w:val="00CA2AD2"/>
    <w:rsid w:val="00CD1A80"/>
    <w:rsid w:val="00CD6F18"/>
    <w:rsid w:val="00D82DE6"/>
    <w:rsid w:val="00D85F66"/>
    <w:rsid w:val="00DD0413"/>
    <w:rsid w:val="00E844E1"/>
    <w:rsid w:val="00F340D0"/>
    <w:rsid w:val="00F91889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8C48"/>
  <w15:chartTrackingRefBased/>
  <w15:docId w15:val="{9707EE1D-EAD1-43AD-ABB4-584B9D0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1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04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DD0413"/>
  </w:style>
  <w:style w:type="paragraph" w:styleId="AltBilgi">
    <w:name w:val="footer"/>
    <w:basedOn w:val="Normal"/>
    <w:link w:val="AltBilgiChar"/>
    <w:uiPriority w:val="99"/>
    <w:unhideWhenUsed/>
    <w:rsid w:val="00DD04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DD0413"/>
  </w:style>
  <w:style w:type="character" w:styleId="Kpr">
    <w:name w:val="Hyperlink"/>
    <w:basedOn w:val="VarsaylanParagrafYazTipi"/>
    <w:uiPriority w:val="99"/>
    <w:unhideWhenUsed/>
    <w:rsid w:val="00DD041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0413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04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0413"/>
    <w:rPr>
      <w:rFonts w:ascii="Palatino Linotype" w:eastAsia="Palatino Linotype" w:hAnsi="Palatino Linotype" w:cs="Palatino Linotype"/>
      <w:sz w:val="20"/>
      <w:szCs w:val="20"/>
      <w:lang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0413"/>
    <w:rPr>
      <w:vertAlign w:val="superscript"/>
    </w:rPr>
  </w:style>
  <w:style w:type="paragraph" w:customStyle="1" w:styleId="NParag">
    <w:name w:val="NParag"/>
    <w:basedOn w:val="Normal"/>
    <w:rsid w:val="00904033"/>
    <w:pPr>
      <w:widowControl/>
      <w:tabs>
        <w:tab w:val="left" w:pos="9072"/>
      </w:tabs>
      <w:autoSpaceDE/>
      <w:autoSpaceDN/>
      <w:spacing w:before="60" w:after="60"/>
      <w:ind w:firstLine="567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styleId="GvdeMetni3">
    <w:name w:val="Body Text 3"/>
    <w:basedOn w:val="Normal"/>
    <w:link w:val="GvdeMetni3Char"/>
    <w:uiPriority w:val="99"/>
    <w:rsid w:val="00904033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90403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2980B9"/>
            <w:bottom w:val="single" w:sz="6" w:space="8" w:color="2980B9"/>
            <w:right w:val="single" w:sz="6" w:space="8" w:color="2980B9"/>
          </w:divBdr>
          <w:divsChild>
            <w:div w:id="5693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2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2980B9"/>
            <w:bottom w:val="single" w:sz="6" w:space="8" w:color="2980B9"/>
            <w:right w:val="single" w:sz="6" w:space="8" w:color="2980B9"/>
          </w:divBdr>
          <w:divsChild>
            <w:div w:id="74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2980B9"/>
            <w:bottom w:val="single" w:sz="6" w:space="8" w:color="2980B9"/>
            <w:right w:val="single" w:sz="6" w:space="8" w:color="2980B9"/>
          </w:divBdr>
          <w:divsChild>
            <w:div w:id="1015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152-810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6992/ASOS.128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sead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Kol06</b:Tag>
    <b:SourceType>JournalArticle</b:SourceType>
    <b:Guid>{95BB6BFA-B4BD-46E6-BCE4-5185A61E0EE6}</b:Guid>
    <b:Title>Rediscovering the later version of Maslow's hierarchy of needs: Self-transcendence and opportunities for theory, research, and unification</b:Title>
    <b:Year>2006</b:Year>
    <b:Pages>302</b:Pages>
    <b:JournalName>Review of general psychology</b:JournalName>
    <b:Author>
      <b:Author>
        <b:NameList>
          <b:Person>
            <b:Last>Koltko-Rivera</b:Last>
            <b:First>M E</b:First>
          </b:Person>
        </b:NameList>
      </b:Author>
    </b:Author>
    <b:Volume>10</b:Volume>
    <b:Issue>4</b:Issue>
    <b:RefOrder>1</b:RefOrder>
  </b:Source>
  <b:Source>
    <b:Tag>Key021</b:Tag>
    <b:SourceType>JournalArticle</b:SourceType>
    <b:Guid>{AD9DF121-B8A1-4005-81A6-6DBD3322289E}</b:Guid>
    <b:Title>Optimizing well-being: The emprical encounter of two traditions</b:Title>
    <b:JournalName>Journal of Personality and Social Psychology</b:JournalName>
    <b:Year>2002</b:Year>
    <b:Pages>1007-1022</b:Pages>
    <b:Author>
      <b:Author>
        <b:NameList>
          <b:Person>
            <b:Last>Keyes</b:Last>
            <b:First>C L M</b:First>
          </b:Person>
          <b:Person>
            <b:Last>Shmotkin</b:Last>
            <b:First>D</b:First>
          </b:Person>
          <b:Person>
            <b:Last>Ryff</b:Last>
            <b:First>C D</b:First>
          </b:Person>
        </b:NameList>
      </b:Author>
    </b:Author>
    <b:Volume>82</b:Volume>
    <b:Issue>6</b:Issue>
    <b:RefOrder>2</b:RefOrder>
  </b:Source>
  <b:Source>
    <b:Tag>Kar15</b:Tag>
    <b:SourceType>Book</b:SourceType>
    <b:Guid>{7EA2B075-0CBC-474A-83C7-D255977D470C}</b:Guid>
    <b:Title>Bilimsel Araştırma Yöntemi</b:Title>
    <b:Year>2015</b:Year>
    <b:City>Ankara </b:City>
    <b:Publisher>Nobel Yayın Dağıtım</b:Publisher>
    <b:Author>
      <b:Author>
        <b:NameList>
          <b:Person>
            <b:Last>Karasar</b:Last>
            <b:First>N</b:First>
          </b:Person>
        </b:NameList>
      </b:Author>
    </b:Author>
    <b:RefOrder>3</b:RefOrder>
  </b:Source>
  <b:Source>
    <b:Tag>Akb01</b:Tag>
    <b:SourceType>JournalArticle</b:SourceType>
    <b:Guid>{555BC2D4-B874-4DBC-AC6C-8E3747D78FA3}</b:Guid>
    <b:Title>Özgecilik ölçeğinin Türkçeye uyarlanması geçerlik ve güvenirlik çalışması</b:Title>
    <b:Year>2001</b:Year>
    <b:Pages>85-95</b:Pages>
    <b:JournalName>Atatürk Üniversitesi Erzincan Eğitim Fakültesi Dergisi</b:JournalName>
    <b:Author>
      <b:Author>
        <b:NameList>
          <b:Person>
            <b:Last>Akbaba</b:Last>
            <b:First>Sırrı</b:First>
          </b:Person>
        </b:NameList>
      </b:Author>
    </b:Author>
    <b:Volume>3</b:Volume>
    <b:Issue>2</b:Issue>
    <b:RefOrder>4</b:RefOrder>
  </b:Source>
  <b:Source>
    <b:Tag>Die10</b:Tag>
    <b:SourceType>JournalArticle</b:SourceType>
    <b:Guid>{96ED4C16-9AC3-4EB3-B0D3-0A62F896FE54}</b:Guid>
    <b:Title>New well-being measures: Short scales to assess flourishing and positive and negative feelings</b:Title>
    <b:Year>2010</b:Year>
    <b:Author>
      <b:Author>
        <b:NameList>
          <b:Person>
            <b:Last>Diener </b:Last>
            <b:First>E</b:First>
          </b:Person>
          <b:Person>
            <b:Last>Wirtz</b:Last>
            <b:First>D</b:First>
          </b:Person>
          <b:Person>
            <b:Last>Tov</b:Last>
            <b:First>W</b:First>
          </b:Person>
          <b:Person>
            <b:Last>Kim-Prieto</b:Last>
            <b:First>C</b:First>
          </b:Person>
          <b:Person>
            <b:Last>Choi</b:Last>
            <b:First>D</b:First>
          </b:Person>
          <b:Person>
            <b:Last>Oishi</b:Last>
            <b:First>S</b:First>
          </b:Person>
          <b:Person>
            <b:Last>Biswas-Diener</b:Last>
            <b:First>R</b:First>
          </b:Person>
        </b:NameList>
      </b:Author>
    </b:Author>
    <b:JournalName>Social Indicators Research</b:JournalName>
    <b:Pages>143-156</b:Pages>
    <b:Volume>97</b:Volume>
    <b:RefOrder>5</b:RefOrder>
  </b:Source>
</b:Sources>
</file>

<file path=customXml/itemProps1.xml><?xml version="1.0" encoding="utf-8"?>
<ds:datastoreItem xmlns:ds="http://schemas.openxmlformats.org/officeDocument/2006/customXml" ds:itemID="{6901EFBB-CAEB-46D7-816B-63DA8697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ÖMER FARUK AKBULUT</cp:lastModifiedBy>
  <cp:revision>33</cp:revision>
  <dcterms:created xsi:type="dcterms:W3CDTF">2022-06-05T12:30:00Z</dcterms:created>
  <dcterms:modified xsi:type="dcterms:W3CDTF">2022-11-12T13:31:00Z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